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44AB" w:rsidRDefault="005F3DB8">
      <w:r>
        <w:rPr>
          <w:sz w:val="20"/>
        </w:rPr>
        <w:t xml:space="preserve">WHEREAS, The Institute of Contemporary Art and University of Massachusetts Boston Urban Scholars Program have come together to collaborate on summer art instruction for teens; and </w:t>
      </w:r>
    </w:p>
    <w:p w:rsidR="004344AB" w:rsidRDefault="004344AB"/>
    <w:p w:rsidR="004344AB" w:rsidRDefault="005F3DB8">
      <w:r>
        <w:rPr>
          <w:sz w:val="20"/>
        </w:rPr>
        <w:t>WHEREAS, the partners herein desire to enter into a Memorandum of Understanding setting forth the services to be provided by the collaborative;</w:t>
      </w:r>
    </w:p>
    <w:p w:rsidR="004344AB" w:rsidRDefault="004344AB"/>
    <w:p w:rsidR="004344AB" w:rsidRDefault="005F3DB8">
      <w:pPr>
        <w:numPr>
          <w:ilvl w:val="0"/>
          <w:numId w:val="1"/>
        </w:numPr>
        <w:ind w:hanging="359"/>
      </w:pPr>
      <w:r>
        <w:rPr>
          <w:b/>
          <w:sz w:val="20"/>
        </w:rPr>
        <w:t xml:space="preserve">Description of Partner Agencies </w:t>
      </w:r>
    </w:p>
    <w:p w:rsidR="004344AB" w:rsidRDefault="005F3DB8">
      <w:pPr>
        <w:numPr>
          <w:ilvl w:val="1"/>
          <w:numId w:val="1"/>
        </w:numPr>
        <w:ind w:hanging="359"/>
      </w:pPr>
      <w:r>
        <w:rPr>
          <w:sz w:val="20"/>
        </w:rPr>
        <w:t>The Institute of Contemporary Art, through its Education Department, offers New Media Art workshops to Boston-Area Teenagers, primarily those in Boston Public Schools.  Workshops are taught by professional artists and museum educators with an emphasis on creating links between ICA gallery exhibits and student-created work.</w:t>
      </w:r>
    </w:p>
    <w:p w:rsidR="004344AB" w:rsidRDefault="005F3DB8">
      <w:pPr>
        <w:numPr>
          <w:ilvl w:val="1"/>
          <w:numId w:val="1"/>
        </w:numPr>
        <w:ind w:hanging="359"/>
      </w:pPr>
      <w:r>
        <w:rPr>
          <w:sz w:val="20"/>
        </w:rPr>
        <w:t>UMASS BOSTON Urban Scholars serves academically talented, low-income and/or first-generation Boston Public Schools students in grades 6 through 12. Working with our partner schools, we identify committed students and provide year-round academic and enrichment programming after school and in our seven-week summer program. Our college preparatory academics and dynamic enrichment programming prepares students for academic success and healthy lives.</w:t>
      </w:r>
    </w:p>
    <w:p w:rsidR="004344AB" w:rsidRDefault="004344AB"/>
    <w:p w:rsidR="004344AB" w:rsidRDefault="005F3DB8">
      <w:pPr>
        <w:numPr>
          <w:ilvl w:val="0"/>
          <w:numId w:val="1"/>
        </w:numPr>
        <w:ind w:hanging="359"/>
      </w:pPr>
      <w:r>
        <w:rPr>
          <w:b/>
          <w:sz w:val="20"/>
        </w:rPr>
        <w:t xml:space="preserve">History of Relationship </w:t>
      </w:r>
    </w:p>
    <w:p w:rsidR="004344AB" w:rsidRDefault="00831822">
      <w:pPr>
        <w:ind w:left="720"/>
      </w:pPr>
      <w:r>
        <w:rPr>
          <w:sz w:val="20"/>
        </w:rPr>
        <w:t xml:space="preserve">This is a continuation of what the partnership from the summer of 2013.  </w:t>
      </w:r>
      <w:r w:rsidR="005F3DB8">
        <w:rPr>
          <w:sz w:val="20"/>
        </w:rPr>
        <w:t>The two agencies indicated a need to further develop art programming in the summer.  The Urban Scholars Program had an existing program but did not have a fully developed arts component. The ICA had a developed school year program, but had yet to develop a full summer program. The two agencies agreed that with Urban Scholars enrolling students, and with the ICA providing arts curriculum and instructors, both programs could satisfy the need to better serve Boston teens.</w:t>
      </w:r>
    </w:p>
    <w:p w:rsidR="004344AB" w:rsidRDefault="004344AB"/>
    <w:p w:rsidR="004344AB" w:rsidRDefault="005F3DB8">
      <w:pPr>
        <w:numPr>
          <w:ilvl w:val="0"/>
          <w:numId w:val="1"/>
        </w:numPr>
        <w:ind w:hanging="359"/>
      </w:pPr>
      <w:r>
        <w:rPr>
          <w:b/>
          <w:sz w:val="20"/>
        </w:rPr>
        <w:t>Goals of Relationship</w:t>
      </w:r>
    </w:p>
    <w:p w:rsidR="004344AB" w:rsidRDefault="005F3DB8">
      <w:pPr>
        <w:ind w:left="720"/>
      </w:pPr>
      <w:r>
        <w:rPr>
          <w:sz w:val="20"/>
        </w:rPr>
        <w:t>The goals of the collaboration are to provide quality summer arts program to Boston teens, primarily in the Dorchester, Mattapan, Roxbury and South Boston neighborhoods</w:t>
      </w:r>
    </w:p>
    <w:p w:rsidR="004344AB" w:rsidRDefault="004344AB"/>
    <w:p w:rsidR="004344AB" w:rsidRDefault="005F3DB8">
      <w:pPr>
        <w:numPr>
          <w:ilvl w:val="0"/>
          <w:numId w:val="1"/>
        </w:numPr>
        <w:ind w:hanging="359"/>
      </w:pPr>
      <w:r>
        <w:rPr>
          <w:b/>
          <w:sz w:val="20"/>
        </w:rPr>
        <w:t xml:space="preserve">Roles and Responsibilities </w:t>
      </w:r>
      <w:r>
        <w:rPr>
          <w:b/>
          <w:sz w:val="20"/>
        </w:rPr>
        <w:br/>
      </w:r>
      <w:r>
        <w:rPr>
          <w:sz w:val="20"/>
        </w:rPr>
        <w:t xml:space="preserve">It is hereby agreed by and between the partners as follows: </w:t>
      </w:r>
    </w:p>
    <w:p w:rsidR="004344AB" w:rsidRDefault="005F3DB8">
      <w:pPr>
        <w:numPr>
          <w:ilvl w:val="1"/>
          <w:numId w:val="1"/>
        </w:numPr>
        <w:ind w:hanging="359"/>
      </w:pPr>
      <w:r>
        <w:rPr>
          <w:sz w:val="20"/>
        </w:rPr>
        <w:t>The ICA will be represented by Joe Douillette, the Teen New Media Program Manager. UMB will be represented by Kevin Dean, the Academic Coordinator. Joe and Kevin will develop all partner documents, shared curriculum, attendance policies, and required budgets as set in the Timeline (see item V)</w:t>
      </w:r>
    </w:p>
    <w:p w:rsidR="004344AB" w:rsidRDefault="005F3DB8">
      <w:pPr>
        <w:numPr>
          <w:ilvl w:val="1"/>
          <w:numId w:val="1"/>
        </w:numPr>
        <w:ind w:hanging="359"/>
      </w:pPr>
      <w:r>
        <w:rPr>
          <w:sz w:val="20"/>
        </w:rPr>
        <w:t xml:space="preserve">The ICA will provide arts workshops for up to 14 students a day </w:t>
      </w:r>
      <w:r w:rsidR="00316A0F">
        <w:rPr>
          <w:sz w:val="20"/>
        </w:rPr>
        <w:t>from 2</w:t>
      </w:r>
      <w:r>
        <w:rPr>
          <w:sz w:val="20"/>
        </w:rPr>
        <w:t xml:space="preserve"> - 5 PM in the ICA’s Paul and Phyllis Fireman Family Digital Studio.</w:t>
      </w:r>
    </w:p>
    <w:p w:rsidR="004344AB" w:rsidRDefault="005F3DB8">
      <w:pPr>
        <w:numPr>
          <w:ilvl w:val="1"/>
          <w:numId w:val="1"/>
        </w:numPr>
        <w:ind w:hanging="359"/>
      </w:pPr>
      <w:r>
        <w:rPr>
          <w:sz w:val="20"/>
        </w:rPr>
        <w:t>The ICA will provide all materials and equipment necessary for the workshops</w:t>
      </w:r>
    </w:p>
    <w:p w:rsidR="004344AB" w:rsidRDefault="005F3DB8">
      <w:pPr>
        <w:numPr>
          <w:ilvl w:val="1"/>
          <w:numId w:val="1"/>
        </w:numPr>
        <w:ind w:hanging="359"/>
      </w:pPr>
      <w:r>
        <w:rPr>
          <w:sz w:val="20"/>
        </w:rPr>
        <w:t>The ICA will design the curriculum and provide the instructors and assistants for these workshops</w:t>
      </w:r>
    </w:p>
    <w:p w:rsidR="004344AB" w:rsidRDefault="005F3DB8">
      <w:pPr>
        <w:numPr>
          <w:ilvl w:val="1"/>
          <w:numId w:val="1"/>
        </w:numPr>
        <w:ind w:hanging="359"/>
      </w:pPr>
      <w:r>
        <w:rPr>
          <w:sz w:val="20"/>
        </w:rPr>
        <w:t>Urban Scholars will administer the enrollment and placement of all of the students, providing the ICA with detailed student info for each workshop</w:t>
      </w:r>
    </w:p>
    <w:p w:rsidR="004344AB" w:rsidRDefault="005F3DB8">
      <w:pPr>
        <w:numPr>
          <w:ilvl w:val="1"/>
          <w:numId w:val="1"/>
        </w:numPr>
        <w:ind w:hanging="359"/>
      </w:pPr>
      <w:r>
        <w:rPr>
          <w:sz w:val="20"/>
        </w:rPr>
        <w:t>Urban Scholars will facilitate the transportation of the students to the ICA</w:t>
      </w:r>
    </w:p>
    <w:p w:rsidR="004344AB" w:rsidRDefault="005F3DB8">
      <w:pPr>
        <w:numPr>
          <w:ilvl w:val="1"/>
          <w:numId w:val="1"/>
        </w:numPr>
        <w:ind w:hanging="359"/>
      </w:pPr>
      <w:r>
        <w:rPr>
          <w:sz w:val="20"/>
        </w:rPr>
        <w:t>Urban Scholars will provide a determined amount of the funds necessary for the ICA to administer and run the art workshops</w:t>
      </w:r>
    </w:p>
    <w:p w:rsidR="004344AB" w:rsidRDefault="005F3DB8">
      <w:pPr>
        <w:numPr>
          <w:ilvl w:val="1"/>
          <w:numId w:val="1"/>
        </w:numPr>
        <w:ind w:hanging="359"/>
      </w:pPr>
      <w:r>
        <w:rPr>
          <w:sz w:val="20"/>
        </w:rPr>
        <w:t>Joe and Kevin will establish a planning schedule to prepare both partners for the summer program</w:t>
      </w:r>
    </w:p>
    <w:p w:rsidR="004344AB" w:rsidRDefault="004344AB"/>
    <w:p w:rsidR="004344AB" w:rsidRDefault="005F3DB8">
      <w:pPr>
        <w:numPr>
          <w:ilvl w:val="0"/>
          <w:numId w:val="1"/>
        </w:numPr>
        <w:ind w:hanging="359"/>
      </w:pPr>
      <w:r>
        <w:rPr>
          <w:b/>
          <w:sz w:val="20"/>
        </w:rPr>
        <w:t xml:space="preserve">Timeline </w:t>
      </w:r>
    </w:p>
    <w:p w:rsidR="007B54DA" w:rsidRDefault="007B54DA" w:rsidP="007B54DA">
      <w:pPr>
        <w:numPr>
          <w:ilvl w:val="1"/>
          <w:numId w:val="1"/>
        </w:numPr>
        <w:ind w:hanging="359"/>
      </w:pPr>
      <w:r>
        <w:rPr>
          <w:sz w:val="20"/>
        </w:rPr>
        <w:t>Early January - Planning meeting schedule determined</w:t>
      </w:r>
    </w:p>
    <w:p w:rsidR="007B54DA" w:rsidRPr="007B54DA" w:rsidRDefault="007B54DA" w:rsidP="007B54DA">
      <w:pPr>
        <w:numPr>
          <w:ilvl w:val="1"/>
          <w:numId w:val="1"/>
        </w:numPr>
        <w:ind w:hanging="359"/>
      </w:pPr>
      <w:r>
        <w:rPr>
          <w:sz w:val="20"/>
        </w:rPr>
        <w:t>Mid-March - ICA Participant Agreement and Release forms delivered to UMB for distribution to participating students</w:t>
      </w:r>
    </w:p>
    <w:p w:rsidR="004344AB" w:rsidRDefault="005F3DB8">
      <w:pPr>
        <w:numPr>
          <w:ilvl w:val="1"/>
          <w:numId w:val="1"/>
        </w:numPr>
        <w:ind w:hanging="359"/>
      </w:pPr>
      <w:r>
        <w:rPr>
          <w:sz w:val="20"/>
        </w:rPr>
        <w:t xml:space="preserve">End of April - workshops content and schedule finalized </w:t>
      </w:r>
    </w:p>
    <w:p w:rsidR="004344AB" w:rsidRDefault="005F3DB8">
      <w:pPr>
        <w:numPr>
          <w:ilvl w:val="1"/>
          <w:numId w:val="1"/>
        </w:numPr>
        <w:ind w:hanging="359"/>
      </w:pPr>
      <w:r>
        <w:rPr>
          <w:sz w:val="20"/>
        </w:rPr>
        <w:t>Beginning of May - Final budget and payment schedule determined</w:t>
      </w:r>
    </w:p>
    <w:p w:rsidR="004344AB" w:rsidRDefault="005F3DB8">
      <w:pPr>
        <w:numPr>
          <w:ilvl w:val="1"/>
          <w:numId w:val="1"/>
        </w:numPr>
        <w:ind w:hanging="359"/>
      </w:pPr>
      <w:r>
        <w:rPr>
          <w:sz w:val="20"/>
        </w:rPr>
        <w:t>Forms received and returned to ICA</w:t>
      </w:r>
    </w:p>
    <w:p w:rsidR="004344AB" w:rsidRDefault="00966AE3">
      <w:pPr>
        <w:numPr>
          <w:ilvl w:val="1"/>
          <w:numId w:val="1"/>
        </w:numPr>
        <w:ind w:hanging="359"/>
      </w:pPr>
      <w:r>
        <w:rPr>
          <w:sz w:val="20"/>
        </w:rPr>
        <w:t>July 1</w:t>
      </w:r>
      <w:r w:rsidR="005F3DB8">
        <w:rPr>
          <w:sz w:val="20"/>
        </w:rPr>
        <w:t xml:space="preserve"> - </w:t>
      </w:r>
      <w:r>
        <w:rPr>
          <w:sz w:val="20"/>
        </w:rPr>
        <w:t>31, 2014</w:t>
      </w:r>
      <w:r w:rsidR="005F3DB8">
        <w:rPr>
          <w:sz w:val="20"/>
        </w:rPr>
        <w:t xml:space="preserve"> - Program runs </w:t>
      </w:r>
    </w:p>
    <w:p w:rsidR="004344AB" w:rsidRDefault="005F3DB8">
      <w:pPr>
        <w:numPr>
          <w:ilvl w:val="2"/>
          <w:numId w:val="1"/>
        </w:numPr>
        <w:ind w:hanging="359"/>
      </w:pPr>
      <w:r>
        <w:rPr>
          <w:sz w:val="20"/>
        </w:rPr>
        <w:t>Week 1 - Tours at ICA</w:t>
      </w:r>
    </w:p>
    <w:p w:rsidR="004344AB" w:rsidRDefault="00966AE3">
      <w:pPr>
        <w:numPr>
          <w:ilvl w:val="2"/>
          <w:numId w:val="1"/>
        </w:numPr>
        <w:ind w:hanging="359"/>
      </w:pPr>
      <w:r>
        <w:rPr>
          <w:sz w:val="20"/>
        </w:rPr>
        <w:t>Weeks 2 - 5</w:t>
      </w:r>
      <w:r w:rsidR="005F3DB8">
        <w:rPr>
          <w:sz w:val="20"/>
        </w:rPr>
        <w:t xml:space="preserve"> - Workshops at ICA</w:t>
      </w:r>
    </w:p>
    <w:p w:rsidR="004344AB" w:rsidRDefault="007B54DA">
      <w:pPr>
        <w:numPr>
          <w:ilvl w:val="1"/>
          <w:numId w:val="1"/>
        </w:numPr>
        <w:ind w:hanging="359"/>
      </w:pPr>
      <w:r>
        <w:rPr>
          <w:sz w:val="20"/>
        </w:rPr>
        <w:t>August 6</w:t>
      </w:r>
      <w:r w:rsidR="005F3DB8">
        <w:rPr>
          <w:sz w:val="20"/>
        </w:rPr>
        <w:t>,</w:t>
      </w:r>
      <w:r>
        <w:rPr>
          <w:sz w:val="20"/>
        </w:rPr>
        <w:t xml:space="preserve"> 2014</w:t>
      </w:r>
      <w:r w:rsidR="005F3DB8">
        <w:rPr>
          <w:sz w:val="20"/>
        </w:rPr>
        <w:t xml:space="preserve"> - Teen Night at the ICA</w:t>
      </w:r>
    </w:p>
    <w:p w:rsidR="004344AB" w:rsidRDefault="004344AB"/>
    <w:p w:rsidR="004344AB" w:rsidRDefault="005F3DB8">
      <w:pPr>
        <w:numPr>
          <w:ilvl w:val="0"/>
          <w:numId w:val="1"/>
        </w:numPr>
        <w:ind w:hanging="359"/>
      </w:pPr>
      <w:r>
        <w:rPr>
          <w:b/>
          <w:sz w:val="20"/>
        </w:rPr>
        <w:t xml:space="preserve">Commitment to Partnership </w:t>
      </w:r>
    </w:p>
    <w:p w:rsidR="004344AB" w:rsidRDefault="005F3DB8">
      <w:pPr>
        <w:ind w:left="720"/>
      </w:pPr>
      <w:r>
        <w:rPr>
          <w:sz w:val="20"/>
        </w:rPr>
        <w:t xml:space="preserve">The collaboration service area includes Boston Massachusetts. The partners agree to collaborate and provide arts instruction to students enrolled in the UMASS Boston Urban Scholars Program pursuant to the described mission, activities and goals of both partner organizations. Compensation for the ICA’s contribution to this project will be provided as outlined in the attached OVW budget detail worksheet. </w:t>
      </w:r>
    </w:p>
    <w:p w:rsidR="004344AB" w:rsidRDefault="004344AB"/>
    <w:p w:rsidR="004344AB" w:rsidRDefault="005F3DB8">
      <w:r>
        <w:rPr>
          <w:sz w:val="20"/>
        </w:rPr>
        <w:t>We, the undersigned have read and agree with this MOU.</w:t>
      </w:r>
    </w:p>
    <w:p w:rsidR="004344AB" w:rsidRDefault="004344AB"/>
    <w:p w:rsidR="004344AB" w:rsidRDefault="005F3DB8">
      <w:r>
        <w:rPr>
          <w:sz w:val="20"/>
        </w:rPr>
        <w:t xml:space="preserve">By </w:t>
      </w:r>
      <w:bookmarkStart w:id="0" w:name="_GoBack"/>
      <w:bookmarkEnd w:id="0"/>
      <w:r>
        <w:rPr>
          <w:sz w:val="20"/>
        </w:rPr>
        <w:tab/>
      </w:r>
    </w:p>
    <w:p w:rsidR="004344AB" w:rsidRDefault="004344AB"/>
    <w:p w:rsidR="004344AB" w:rsidRDefault="004344AB"/>
    <w:p w:rsidR="004344AB" w:rsidRDefault="005F3DB8">
      <w:r>
        <w:rPr>
          <w:b/>
          <w:sz w:val="20"/>
        </w:rPr>
        <w:t>Institute of Contemporary Art, Boston, Massachusetts</w:t>
      </w:r>
    </w:p>
    <w:p w:rsidR="004344AB" w:rsidRDefault="004344AB"/>
    <w:p w:rsidR="004344AB" w:rsidRDefault="004344AB"/>
    <w:p w:rsidR="004344AB" w:rsidRDefault="005F3DB8">
      <w:r>
        <w:rPr>
          <w:sz w:val="20"/>
        </w:rPr>
        <w:t>_____________________________________________</w:t>
      </w:r>
      <w:r>
        <w:rPr>
          <w:sz w:val="20"/>
        </w:rPr>
        <w:tab/>
      </w:r>
      <w:r>
        <w:rPr>
          <w:sz w:val="20"/>
        </w:rPr>
        <w:tab/>
        <w:t xml:space="preserve">_______________ </w:t>
      </w:r>
    </w:p>
    <w:p w:rsidR="004344AB" w:rsidRDefault="005F3DB8">
      <w:r>
        <w:rPr>
          <w:sz w:val="20"/>
        </w:rPr>
        <w:t>Joseph Douillette, Teen New Media Program Manager</w:t>
      </w:r>
      <w:r>
        <w:rPr>
          <w:sz w:val="20"/>
        </w:rPr>
        <w:tab/>
      </w:r>
      <w:r>
        <w:rPr>
          <w:sz w:val="20"/>
        </w:rPr>
        <w:tab/>
        <w:t>Date</w:t>
      </w:r>
    </w:p>
    <w:p w:rsidR="004344AB" w:rsidRDefault="004344AB"/>
    <w:p w:rsidR="004344AB" w:rsidRDefault="004344AB"/>
    <w:p w:rsidR="004344AB" w:rsidRDefault="005F3DB8">
      <w:r>
        <w:rPr>
          <w:sz w:val="20"/>
        </w:rPr>
        <w:t>_____________________________________________</w:t>
      </w:r>
      <w:r>
        <w:rPr>
          <w:sz w:val="20"/>
        </w:rPr>
        <w:tab/>
      </w:r>
      <w:r>
        <w:rPr>
          <w:sz w:val="20"/>
        </w:rPr>
        <w:tab/>
        <w:t xml:space="preserve">_______________ </w:t>
      </w:r>
    </w:p>
    <w:p w:rsidR="004344AB" w:rsidRDefault="005F3DB8">
      <w:r>
        <w:rPr>
          <w:sz w:val="20"/>
        </w:rPr>
        <w:t>Monica Garza, Director of Education</w:t>
      </w:r>
      <w:r>
        <w:rPr>
          <w:sz w:val="20"/>
        </w:rPr>
        <w:tab/>
      </w:r>
      <w:r>
        <w:rPr>
          <w:sz w:val="20"/>
        </w:rPr>
        <w:tab/>
      </w:r>
      <w:r>
        <w:rPr>
          <w:sz w:val="20"/>
        </w:rPr>
        <w:tab/>
      </w:r>
      <w:r>
        <w:rPr>
          <w:sz w:val="20"/>
        </w:rPr>
        <w:tab/>
        <w:t>Date</w:t>
      </w:r>
    </w:p>
    <w:p w:rsidR="004344AB" w:rsidRDefault="004344AB"/>
    <w:p w:rsidR="004344AB" w:rsidRDefault="004344AB"/>
    <w:p w:rsidR="004344AB" w:rsidRDefault="004344AB"/>
    <w:p w:rsidR="004344AB" w:rsidRDefault="005F3DB8">
      <w:r>
        <w:rPr>
          <w:b/>
          <w:sz w:val="20"/>
        </w:rPr>
        <w:t>UMASS Boston Urban Scholars Program, Boston, Massachusetts</w:t>
      </w:r>
    </w:p>
    <w:p w:rsidR="004344AB" w:rsidRDefault="004344AB"/>
    <w:p w:rsidR="004344AB" w:rsidRDefault="004344AB"/>
    <w:p w:rsidR="004344AB" w:rsidRDefault="005F3DB8">
      <w:r>
        <w:rPr>
          <w:sz w:val="20"/>
        </w:rPr>
        <w:t>_____________________________________________</w:t>
      </w:r>
      <w:r>
        <w:rPr>
          <w:sz w:val="20"/>
        </w:rPr>
        <w:tab/>
      </w:r>
      <w:r>
        <w:rPr>
          <w:sz w:val="20"/>
        </w:rPr>
        <w:tab/>
        <w:t xml:space="preserve">_______________ </w:t>
      </w:r>
    </w:p>
    <w:p w:rsidR="004344AB" w:rsidRDefault="005F3DB8">
      <w:r>
        <w:rPr>
          <w:sz w:val="20"/>
        </w:rPr>
        <w:t xml:space="preserve">Kevin Dean, </w:t>
      </w:r>
      <w:r w:rsidR="00053DCB">
        <w:rPr>
          <w:sz w:val="20"/>
        </w:rPr>
        <w:t>Assistant Director</w:t>
      </w:r>
      <w:r w:rsidR="00053DCB">
        <w:rPr>
          <w:sz w:val="20"/>
        </w:rPr>
        <w:tab/>
      </w:r>
      <w:r>
        <w:rPr>
          <w:sz w:val="20"/>
        </w:rPr>
        <w:tab/>
      </w:r>
      <w:r>
        <w:rPr>
          <w:sz w:val="20"/>
        </w:rPr>
        <w:tab/>
      </w:r>
      <w:r>
        <w:rPr>
          <w:sz w:val="20"/>
        </w:rPr>
        <w:tab/>
      </w:r>
      <w:r>
        <w:rPr>
          <w:sz w:val="20"/>
        </w:rPr>
        <w:tab/>
        <w:t>Date</w:t>
      </w:r>
    </w:p>
    <w:p w:rsidR="004344AB" w:rsidRDefault="004344AB"/>
    <w:p w:rsidR="004344AB" w:rsidRDefault="004344AB"/>
    <w:p w:rsidR="004344AB" w:rsidRDefault="005F3DB8">
      <w:r>
        <w:rPr>
          <w:sz w:val="20"/>
        </w:rPr>
        <w:t>_____________________________________________</w:t>
      </w:r>
      <w:r>
        <w:rPr>
          <w:sz w:val="20"/>
        </w:rPr>
        <w:tab/>
      </w:r>
      <w:r>
        <w:rPr>
          <w:sz w:val="20"/>
        </w:rPr>
        <w:tab/>
        <w:t xml:space="preserve">_______________ </w:t>
      </w:r>
    </w:p>
    <w:p w:rsidR="004344AB" w:rsidRDefault="005F3DB8">
      <w:r>
        <w:rPr>
          <w:sz w:val="20"/>
        </w:rPr>
        <w:t>David Lemmel, Director</w:t>
      </w:r>
      <w:r>
        <w:rPr>
          <w:sz w:val="20"/>
        </w:rPr>
        <w:tab/>
      </w:r>
      <w:r>
        <w:rPr>
          <w:sz w:val="20"/>
        </w:rPr>
        <w:tab/>
      </w:r>
      <w:r>
        <w:rPr>
          <w:sz w:val="20"/>
        </w:rPr>
        <w:tab/>
      </w:r>
      <w:r>
        <w:rPr>
          <w:sz w:val="20"/>
        </w:rPr>
        <w:tab/>
      </w:r>
      <w:r>
        <w:rPr>
          <w:sz w:val="20"/>
        </w:rPr>
        <w:tab/>
      </w:r>
      <w:r>
        <w:rPr>
          <w:sz w:val="20"/>
        </w:rPr>
        <w:tab/>
        <w:t>Date</w:t>
      </w:r>
    </w:p>
    <w:sectPr w:rsidR="004344AB" w:rsidSect="00966AE3">
      <w:footerReference w:type="default" r:id="rId8"/>
      <w:head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35" w:rsidRDefault="00E63335">
      <w:pPr>
        <w:spacing w:line="240" w:lineRule="auto"/>
      </w:pPr>
      <w:r>
        <w:separator/>
      </w:r>
    </w:p>
  </w:endnote>
  <w:endnote w:type="continuationSeparator" w:id="0">
    <w:p w:rsidR="00E63335" w:rsidRDefault="00E6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AB" w:rsidRDefault="005F3DB8">
    <w:pPr>
      <w:jc w:val="right"/>
    </w:pPr>
    <w:r>
      <w:rPr>
        <w:sz w:val="16"/>
      </w:rPr>
      <w:t>Memorandum of Understanding</w:t>
    </w:r>
  </w:p>
  <w:p w:rsidR="004344AB" w:rsidRDefault="005F3DB8">
    <w:pPr>
      <w:jc w:val="right"/>
    </w:pPr>
    <w:r>
      <w:rPr>
        <w:sz w:val="16"/>
      </w:rPr>
      <w:t>ICA and UMB/USP</w:t>
    </w:r>
  </w:p>
  <w:p w:rsidR="004344AB" w:rsidRDefault="005F3DB8">
    <w:pPr>
      <w:jc w:val="right"/>
    </w:pPr>
    <w:r>
      <w:rPr>
        <w:sz w:val="16"/>
      </w:rPr>
      <w:t xml:space="preserve">DRAFT </w:t>
    </w:r>
    <w:r w:rsidR="00316A0F">
      <w:rPr>
        <w:sz w:val="16"/>
      </w:rPr>
      <w:t>4/15</w:t>
    </w:r>
    <w:r w:rsidR="00966AE3">
      <w:rPr>
        <w:sz w:val="16"/>
      </w:rPr>
      <w:t>/14</w:t>
    </w:r>
  </w:p>
  <w:p w:rsidR="004344AB" w:rsidRDefault="005F3DB8">
    <w:pPr>
      <w:jc w:val="right"/>
    </w:pPr>
    <w:r>
      <w:rPr>
        <w:sz w:val="16"/>
      </w:rPr>
      <w:t xml:space="preserve">Page </w:t>
    </w:r>
    <w:r>
      <w:fldChar w:fldCharType="begin"/>
    </w:r>
    <w:r>
      <w:instrText>PAGE</w:instrText>
    </w:r>
    <w:r>
      <w:fldChar w:fldCharType="separate"/>
    </w:r>
    <w:r w:rsidR="00053DCB">
      <w:rPr>
        <w:noProof/>
      </w:rPr>
      <w:t>2</w:t>
    </w:r>
    <w:r>
      <w:fldChar w:fldCharType="end"/>
    </w:r>
    <w:r>
      <w:rPr>
        <w:sz w:val="16"/>
      </w:rPr>
      <w:t xml:space="preserve"> of </w:t>
    </w:r>
    <w:r>
      <w:fldChar w:fldCharType="begin"/>
    </w:r>
    <w:r>
      <w:instrText>NUMPAGES</w:instrText>
    </w:r>
    <w:r>
      <w:fldChar w:fldCharType="separate"/>
    </w:r>
    <w:r w:rsidR="00053DC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35" w:rsidRDefault="00E63335">
      <w:pPr>
        <w:spacing w:line="240" w:lineRule="auto"/>
      </w:pPr>
      <w:r>
        <w:separator/>
      </w:r>
    </w:p>
  </w:footnote>
  <w:footnote w:type="continuationSeparator" w:id="0">
    <w:p w:rsidR="00E63335" w:rsidRDefault="00E6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E3" w:rsidRPr="00966AE3" w:rsidRDefault="00966AE3" w:rsidP="00966AE3">
    <w:pPr>
      <w:pStyle w:val="Header"/>
      <w:jc w:val="center"/>
      <w:rPr>
        <w:b/>
      </w:rPr>
    </w:pPr>
    <w:r w:rsidRPr="00966AE3">
      <w:rPr>
        <w:b/>
      </w:rPr>
      <w:t>Memorandum of Understanding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A2031"/>
    <w:multiLevelType w:val="multilevel"/>
    <w:tmpl w:val="3E70A558"/>
    <w:lvl w:ilvl="0">
      <w:start w:val="1"/>
      <w:numFmt w:val="upperRoman"/>
      <w:lvlText w:val="%1"/>
      <w:lvlJc w:val="left"/>
      <w:pPr>
        <w:ind w:left="720" w:firstLine="360"/>
      </w:pPr>
      <w:rPr>
        <w:rFonts w:ascii="Arial" w:eastAsia="Arial" w:hAnsi="Arial" w:cs="Arial"/>
        <w:b/>
        <w:i w:val="0"/>
        <w:smallCaps w:val="0"/>
        <w:strike w:val="0"/>
        <w:color w:val="000000"/>
        <w:sz w:val="20"/>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0"/>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0"/>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0"/>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0"/>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0"/>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0"/>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0"/>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344AB"/>
    <w:rsid w:val="00053DCB"/>
    <w:rsid w:val="00316A0F"/>
    <w:rsid w:val="004344AB"/>
    <w:rsid w:val="005F3DB8"/>
    <w:rsid w:val="00602C65"/>
    <w:rsid w:val="007B54DA"/>
    <w:rsid w:val="007D7E2A"/>
    <w:rsid w:val="00831822"/>
    <w:rsid w:val="00966AE3"/>
    <w:rsid w:val="009A34EC"/>
    <w:rsid w:val="009E4AD4"/>
    <w:rsid w:val="00A028C4"/>
    <w:rsid w:val="00E6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966AE3"/>
    <w:pPr>
      <w:tabs>
        <w:tab w:val="center" w:pos="4680"/>
        <w:tab w:val="right" w:pos="9360"/>
      </w:tabs>
      <w:spacing w:line="240" w:lineRule="auto"/>
    </w:pPr>
  </w:style>
  <w:style w:type="character" w:customStyle="1" w:styleId="HeaderChar">
    <w:name w:val="Header Char"/>
    <w:basedOn w:val="DefaultParagraphFont"/>
    <w:link w:val="Header"/>
    <w:uiPriority w:val="99"/>
    <w:rsid w:val="00966AE3"/>
    <w:rPr>
      <w:rFonts w:ascii="Arial" w:eastAsia="Arial" w:hAnsi="Arial" w:cs="Arial"/>
      <w:color w:val="000000"/>
    </w:rPr>
  </w:style>
  <w:style w:type="paragraph" w:styleId="Footer">
    <w:name w:val="footer"/>
    <w:basedOn w:val="Normal"/>
    <w:link w:val="FooterChar"/>
    <w:uiPriority w:val="99"/>
    <w:unhideWhenUsed/>
    <w:rsid w:val="00966AE3"/>
    <w:pPr>
      <w:tabs>
        <w:tab w:val="center" w:pos="4680"/>
        <w:tab w:val="right" w:pos="9360"/>
      </w:tabs>
      <w:spacing w:line="240" w:lineRule="auto"/>
    </w:pPr>
  </w:style>
  <w:style w:type="character" w:customStyle="1" w:styleId="FooterChar">
    <w:name w:val="Footer Char"/>
    <w:basedOn w:val="DefaultParagraphFont"/>
    <w:link w:val="Footer"/>
    <w:uiPriority w:val="99"/>
    <w:rsid w:val="00966AE3"/>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966AE3"/>
    <w:pPr>
      <w:tabs>
        <w:tab w:val="center" w:pos="4680"/>
        <w:tab w:val="right" w:pos="9360"/>
      </w:tabs>
      <w:spacing w:line="240" w:lineRule="auto"/>
    </w:pPr>
  </w:style>
  <w:style w:type="character" w:customStyle="1" w:styleId="HeaderChar">
    <w:name w:val="Header Char"/>
    <w:basedOn w:val="DefaultParagraphFont"/>
    <w:link w:val="Header"/>
    <w:uiPriority w:val="99"/>
    <w:rsid w:val="00966AE3"/>
    <w:rPr>
      <w:rFonts w:ascii="Arial" w:eastAsia="Arial" w:hAnsi="Arial" w:cs="Arial"/>
      <w:color w:val="000000"/>
    </w:rPr>
  </w:style>
  <w:style w:type="paragraph" w:styleId="Footer">
    <w:name w:val="footer"/>
    <w:basedOn w:val="Normal"/>
    <w:link w:val="FooterChar"/>
    <w:uiPriority w:val="99"/>
    <w:unhideWhenUsed/>
    <w:rsid w:val="00966AE3"/>
    <w:pPr>
      <w:tabs>
        <w:tab w:val="center" w:pos="4680"/>
        <w:tab w:val="right" w:pos="9360"/>
      </w:tabs>
      <w:spacing w:line="240" w:lineRule="auto"/>
    </w:pPr>
  </w:style>
  <w:style w:type="character" w:customStyle="1" w:styleId="FooterChar">
    <w:name w:val="Footer Char"/>
    <w:basedOn w:val="DefaultParagraphFont"/>
    <w:link w:val="Footer"/>
    <w:uiPriority w:val="99"/>
    <w:rsid w:val="00966AE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MOU - ICA and UMB-US.docx</vt:lpstr>
    </vt:vector>
  </TitlesOfParts>
  <Company>Institute of Contemporary Art</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 ICA and UMB-US.docx</dc:title>
  <dc:creator>Joe Douillette</dc:creator>
  <cp:lastModifiedBy>Kevin.dean</cp:lastModifiedBy>
  <cp:revision>3</cp:revision>
  <cp:lastPrinted>2014-04-01T13:54:00Z</cp:lastPrinted>
  <dcterms:created xsi:type="dcterms:W3CDTF">2014-06-10T15:02:00Z</dcterms:created>
  <dcterms:modified xsi:type="dcterms:W3CDTF">2015-01-05T18:12:00Z</dcterms:modified>
</cp:coreProperties>
</file>